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82E" w:rsidRDefault="000D582E" w:rsidP="00267C9A">
      <w:pPr>
        <w:jc w:val="center"/>
        <w:rPr>
          <w:rFonts w:ascii="Old English Text MT" w:hAnsi="Old English Text MT" w:cs="Arial"/>
          <w:sz w:val="52"/>
          <w:szCs w:val="52"/>
        </w:rPr>
      </w:pPr>
    </w:p>
    <w:p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E0054A" w:rsidRPr="00E0054A" w:rsidRDefault="00E0054A" w:rsidP="00E0054A">
      <w:pPr>
        <w:spacing w:before="120" w:after="120"/>
        <w:jc w:val="center"/>
        <w:rPr>
          <w:rFonts w:ascii="Old English Text MT" w:hAnsi="Old English Text MT" w:cs="Arial"/>
          <w:noProof/>
          <w:sz w:val="40"/>
          <w:szCs w:val="40"/>
          <w:lang w:bidi="he-IL"/>
        </w:rPr>
      </w:pPr>
      <w:r w:rsidRPr="00E0054A">
        <w:rPr>
          <w:noProof/>
        </w:rPr>
        <w:drawing>
          <wp:inline distT="0" distB="0" distL="0" distR="0" wp14:anchorId="442192D6" wp14:editId="570AE5D8">
            <wp:extent cx="3261400" cy="2695396"/>
            <wp:effectExtent l="19050" t="0" r="0" b="0"/>
            <wp:docPr id="3" name="Picture 3" descr="http://2.bp.blogspot.com/_VdHrKykGCwQ/TQraGDoN_JI/AAAAAAAACS4/4a9Sh7yl9kI/s1600/166+-+The+Nativity+of+Our+L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VdHrKykGCwQ/TQraGDoN_JI/AAAAAAAACS4/4a9Sh7yl9kI/s1600/166+-+The+Nativity+of+Our+Lord.gif"/>
                    <pic:cNvPicPr>
                      <a:picLocks noChangeAspect="1" noChangeArrowheads="1"/>
                    </pic:cNvPicPr>
                  </pic:nvPicPr>
                  <pic:blipFill>
                    <a:blip r:embed="rId8" cstate="print"/>
                    <a:srcRect r="3458"/>
                    <a:stretch>
                      <a:fillRect/>
                    </a:stretch>
                  </pic:blipFill>
                  <pic:spPr bwMode="auto">
                    <a:xfrm>
                      <a:off x="0" y="0"/>
                      <a:ext cx="3261400" cy="2695396"/>
                    </a:xfrm>
                    <a:prstGeom prst="rect">
                      <a:avLst/>
                    </a:prstGeom>
                    <a:noFill/>
                    <a:ln w="9525">
                      <a:noFill/>
                      <a:miter lim="800000"/>
                      <a:headEnd/>
                      <a:tailEnd/>
                    </a:ln>
                  </pic:spPr>
                </pic:pic>
              </a:graphicData>
            </a:graphic>
          </wp:inline>
        </w:drawing>
      </w:r>
    </w:p>
    <w:p w:rsidR="00E0054A" w:rsidRPr="00E0054A" w:rsidRDefault="00E0054A" w:rsidP="00E0054A">
      <w:pPr>
        <w:spacing w:after="120"/>
        <w:jc w:val="center"/>
        <w:rPr>
          <w:rFonts w:ascii="Footlight MT Light" w:hAnsi="Footlight MT Light" w:cs="Arial"/>
          <w:iCs/>
          <w:noProof/>
          <w:sz w:val="40"/>
          <w:szCs w:val="40"/>
          <w:lang w:bidi="he-IL"/>
        </w:rPr>
      </w:pPr>
      <w:r w:rsidRPr="00E0054A">
        <w:rPr>
          <w:rFonts w:ascii="Footlight MT Light" w:hAnsi="Footlight MT Light" w:cs="Arial"/>
          <w:iCs/>
          <w:noProof/>
          <w:sz w:val="40"/>
          <w:szCs w:val="40"/>
          <w:lang w:bidi="he-IL"/>
        </w:rPr>
        <w:t>The Feast of the Nativity of Our Lord</w:t>
      </w:r>
    </w:p>
    <w:p w:rsidR="00AD18F2" w:rsidRDefault="00757D07"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December </w:t>
      </w:r>
      <w:r w:rsidR="00E0054A">
        <w:rPr>
          <w:rFonts w:ascii="Footlight MT Light" w:hAnsi="Footlight MT Light" w:cs="Arial"/>
          <w:sz w:val="28"/>
          <w:szCs w:val="28"/>
        </w:rPr>
        <w:t>25</w:t>
      </w:r>
      <w:r w:rsidR="00F667DB">
        <w:rPr>
          <w:rFonts w:ascii="Footlight MT Light" w:hAnsi="Footlight MT Light" w:cs="Arial"/>
          <w:sz w:val="28"/>
          <w:szCs w:val="28"/>
        </w:rPr>
        <w:t>, 201</w:t>
      </w:r>
      <w:r w:rsidR="0063014D">
        <w:rPr>
          <w:rFonts w:ascii="Footlight MT Light" w:hAnsi="Footlight MT Light" w:cs="Arial"/>
          <w:sz w:val="28"/>
          <w:szCs w:val="28"/>
        </w:rPr>
        <w:t>7</w:t>
      </w:r>
    </w:p>
    <w:p w:rsidR="006756A0" w:rsidRDefault="006756A0" w:rsidP="006756A0">
      <w:pPr>
        <w:tabs>
          <w:tab w:val="left" w:pos="4050"/>
        </w:tabs>
        <w:rPr>
          <w:rFonts w:ascii="Footlight MT Light" w:hAnsi="Footlight MT Light" w:cs="Arial"/>
          <w:b/>
          <w:bCs/>
          <w:sz w:val="28"/>
          <w:szCs w:val="28"/>
        </w:rPr>
      </w:pPr>
    </w:p>
    <w:p w:rsidR="00EA52D7" w:rsidRDefault="006756A0" w:rsidP="006756A0">
      <w:pPr>
        <w:tabs>
          <w:tab w:val="left" w:pos="4050"/>
        </w:tabs>
        <w:rPr>
          <w:rFonts w:ascii="Footlight MT Light" w:hAnsi="Footlight MT Light" w:cs="Arial"/>
          <w:b/>
          <w:bCs/>
          <w:sz w:val="28"/>
          <w:szCs w:val="28"/>
        </w:rPr>
      </w:pPr>
      <w:r>
        <w:rPr>
          <w:rFonts w:ascii="Footlight MT Light" w:hAnsi="Footlight MT Light" w:cs="Arial"/>
          <w:b/>
          <w:bCs/>
          <w:sz w:val="28"/>
          <w:szCs w:val="28"/>
        </w:rPr>
        <w:tab/>
      </w:r>
    </w:p>
    <w:p w:rsidR="000D582E" w:rsidRDefault="000D582E" w:rsidP="002F6912">
      <w:pPr>
        <w:jc w:val="center"/>
        <w:rPr>
          <w:rFonts w:ascii="Footlight MT Light" w:hAnsi="Footlight MT Light" w:cs="Arial"/>
          <w:b/>
          <w:bCs/>
          <w:sz w:val="28"/>
          <w:szCs w:val="28"/>
        </w:rPr>
      </w:pPr>
    </w:p>
    <w:p w:rsidR="006756A0" w:rsidRDefault="006756A0"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63014D">
        <w:rPr>
          <w:rFonts w:ascii="Cambria" w:eastAsia="Times New Roman" w:hAnsi="Cambria" w:cs="Times New Roman"/>
          <w:szCs w:val="24"/>
        </w:rPr>
        <w:t xml:space="preserve"> to hear God’s Word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B85297">
        <w:rPr>
          <w:rFonts w:ascii="Cambria" w:eastAsia="Times New Roman" w:hAnsi="Cambria" w:cs="Times New Roman"/>
          <w:szCs w:val="22"/>
        </w:rPr>
        <w:t>, which is outlined on the next page</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p>
    <w:p w:rsidR="00E0054A" w:rsidRPr="00E0054A" w:rsidRDefault="00E0054A" w:rsidP="00E0054A">
      <w:pPr>
        <w:tabs>
          <w:tab w:val="center" w:pos="4320"/>
          <w:tab w:val="right" w:pos="8640"/>
        </w:tabs>
        <w:ind w:left="180" w:hanging="180"/>
        <w:jc w:val="both"/>
        <w:rPr>
          <w:rFonts w:ascii="Cambria" w:eastAsia="Times New Roman" w:hAnsi="Cambria" w:cs="Times New Roman"/>
          <w:szCs w:val="22"/>
        </w:rPr>
      </w:pPr>
      <w:r w:rsidRPr="00E0054A">
        <w:rPr>
          <w:rFonts w:ascii="Cambria" w:eastAsia="Times New Roman" w:hAnsi="Cambria" w:cs="Times New Roman"/>
          <w:szCs w:val="22"/>
        </w:rPr>
        <w:tab/>
        <w:t xml:space="preserve">Please note that hymns replace the Gradual and </w:t>
      </w:r>
      <w:r w:rsidR="00645C09">
        <w:rPr>
          <w:rFonts w:ascii="Cambria" w:eastAsia="Times New Roman" w:hAnsi="Cambria" w:cs="Times New Roman"/>
          <w:szCs w:val="22"/>
        </w:rPr>
        <w:t>Hallelujah</w:t>
      </w:r>
      <w:r w:rsidRPr="00E0054A">
        <w:rPr>
          <w:rFonts w:ascii="Cambria" w:eastAsia="Times New Roman" w:hAnsi="Cambria" w:cs="Times New Roman"/>
          <w:szCs w:val="22"/>
        </w:rPr>
        <w:t xml:space="preserve"> in this morning’s service. </w:t>
      </w:r>
    </w:p>
    <w:p w:rsidR="00E0054A" w:rsidRPr="00E0054A" w:rsidRDefault="00E0054A" w:rsidP="00E0054A">
      <w:pPr>
        <w:tabs>
          <w:tab w:val="center" w:pos="4320"/>
          <w:tab w:val="right" w:pos="8640"/>
        </w:tabs>
        <w:ind w:left="180" w:hanging="180"/>
        <w:jc w:val="both"/>
        <w:rPr>
          <w:rFonts w:ascii="Cambria" w:eastAsia="Times New Roman" w:hAnsi="Cambria" w:cs="Times New Roman"/>
          <w:szCs w:val="22"/>
        </w:rPr>
      </w:pPr>
    </w:p>
    <w:p w:rsidR="00E0054A" w:rsidRPr="00036ACF" w:rsidRDefault="00E0054A" w:rsidP="00E0054A">
      <w:pPr>
        <w:tabs>
          <w:tab w:val="center" w:pos="4320"/>
          <w:tab w:val="right" w:pos="8640"/>
        </w:tabs>
        <w:ind w:left="180" w:hanging="180"/>
        <w:jc w:val="both"/>
        <w:rPr>
          <w:rFonts w:ascii="Cambria" w:eastAsia="Times New Roman" w:hAnsi="Cambria" w:cs="Times New Roman"/>
          <w:sz w:val="22"/>
          <w:szCs w:val="22"/>
          <w:u w:val="single"/>
        </w:rPr>
      </w:pPr>
      <w:r w:rsidRPr="00036ACF">
        <w:rPr>
          <w:rFonts w:ascii="Cambria" w:eastAsia="Times New Roman" w:hAnsi="Cambria" w:cs="Times New Roman"/>
          <w:sz w:val="22"/>
          <w:szCs w:val="22"/>
        </w:rPr>
        <w:tab/>
      </w:r>
      <w:r w:rsidRPr="00036ACF">
        <w:rPr>
          <w:rFonts w:ascii="Cambria" w:eastAsia="Times New Roman" w:hAnsi="Cambria" w:cs="Times New Roman"/>
          <w:sz w:val="22"/>
          <w:szCs w:val="22"/>
          <w:u w:val="single"/>
        </w:rPr>
        <w:t xml:space="preserve">After the first hymn is sung, </w:t>
      </w:r>
      <w:r w:rsidR="00036ACF">
        <w:rPr>
          <w:rFonts w:ascii="Cambria" w:eastAsia="Times New Roman" w:hAnsi="Cambria" w:cs="Times New Roman"/>
          <w:sz w:val="22"/>
          <w:szCs w:val="22"/>
          <w:u w:val="single"/>
        </w:rPr>
        <w:t xml:space="preserve">the service begins on p. 15 in the hymnal. As soon as the General Absolution is pronounced, </w:t>
      </w:r>
      <w:r w:rsidRPr="00036ACF">
        <w:rPr>
          <w:rFonts w:ascii="Cambria" w:eastAsia="Times New Roman" w:hAnsi="Cambria" w:cs="Times New Roman"/>
          <w:sz w:val="22"/>
          <w:szCs w:val="22"/>
          <w:u w:val="single"/>
        </w:rPr>
        <w:t xml:space="preserve">open to hymn #87, which will be sung immediately after the Introit. </w:t>
      </w:r>
    </w:p>
    <w:p w:rsidR="002510A0" w:rsidRDefault="002510A0" w:rsidP="00A107AB">
      <w:pPr>
        <w:spacing w:before="360" w:after="40"/>
        <w:rPr>
          <w:rFonts w:ascii="Cambria" w:eastAsia="Times New Roman" w:hAnsi="Cambria" w:cs="Times New Roman"/>
          <w:b/>
          <w:bCs/>
          <w:sz w:val="22"/>
          <w:szCs w:val="22"/>
        </w:rPr>
      </w:pPr>
    </w:p>
    <w:p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93379A" w:rsidRPr="0093379A" w:rsidRDefault="0093379A" w:rsidP="0093379A">
      <w:pPr>
        <w:tabs>
          <w:tab w:val="left" w:pos="1440"/>
          <w:tab w:val="left" w:pos="1710"/>
        </w:tabs>
        <w:ind w:left="1710" w:hanging="1530"/>
        <w:rPr>
          <w:rFonts w:ascii="Cambria" w:eastAsia="Times New Roman" w:hAnsi="Cambria"/>
        </w:rPr>
      </w:pPr>
      <w:r w:rsidRPr="0093379A">
        <w:rPr>
          <w:rFonts w:ascii="Cambria" w:eastAsia="Times New Roman" w:hAnsi="Cambria"/>
        </w:rPr>
        <w:t>Sun., Dec. 31</w:t>
      </w:r>
      <w:r w:rsidRPr="0093379A">
        <w:rPr>
          <w:rFonts w:ascii="Cambria" w:eastAsia="Times New Roman" w:hAnsi="Cambria"/>
        </w:rPr>
        <w:tab/>
        <w:t>-</w:t>
      </w:r>
      <w:r w:rsidRPr="0093379A">
        <w:rPr>
          <w:rFonts w:ascii="Cambria" w:eastAsia="Times New Roman" w:hAnsi="Cambria"/>
        </w:rPr>
        <w:tab/>
      </w:r>
      <w:r w:rsidRPr="0093379A">
        <w:rPr>
          <w:rFonts w:ascii="Cambria" w:eastAsia="Times New Roman" w:hAnsi="Cambria"/>
          <w:b/>
          <w:i/>
        </w:rPr>
        <w:t>No Sunday School or Bible Class</w:t>
      </w:r>
    </w:p>
    <w:p w:rsidR="0093379A" w:rsidRPr="0093379A" w:rsidRDefault="0093379A" w:rsidP="0093379A">
      <w:pPr>
        <w:tabs>
          <w:tab w:val="left" w:pos="1440"/>
          <w:tab w:val="left" w:pos="1710"/>
        </w:tabs>
        <w:ind w:left="1710" w:hanging="1530"/>
        <w:rPr>
          <w:rFonts w:ascii="Cambria" w:eastAsia="Times New Roman" w:hAnsi="Cambria"/>
        </w:rPr>
      </w:pPr>
      <w:r w:rsidRPr="0093379A">
        <w:rPr>
          <w:rFonts w:ascii="Cambria" w:eastAsia="Times New Roman" w:hAnsi="Cambria"/>
        </w:rPr>
        <w:tab/>
        <w:t>-</w:t>
      </w:r>
      <w:r w:rsidRPr="0093379A">
        <w:rPr>
          <w:rFonts w:ascii="Cambria" w:eastAsia="Times New Roman" w:hAnsi="Cambria"/>
        </w:rPr>
        <w:tab/>
        <w:t>Divine Service, 10:15 AM (Sunday after Christmas)</w:t>
      </w:r>
    </w:p>
    <w:p w:rsidR="0093379A" w:rsidRPr="0093379A" w:rsidRDefault="0093379A" w:rsidP="0093379A">
      <w:pPr>
        <w:tabs>
          <w:tab w:val="left" w:pos="1440"/>
          <w:tab w:val="left" w:pos="1710"/>
        </w:tabs>
        <w:ind w:left="1710" w:hanging="1530"/>
        <w:rPr>
          <w:rFonts w:ascii="Cambria" w:eastAsia="Times New Roman" w:hAnsi="Cambria"/>
        </w:rPr>
      </w:pPr>
      <w:r w:rsidRPr="0093379A">
        <w:rPr>
          <w:rFonts w:ascii="Cambria" w:eastAsia="Times New Roman" w:hAnsi="Cambria"/>
        </w:rPr>
        <w:t>Sat., Jan. 6</w:t>
      </w:r>
      <w:r w:rsidRPr="0093379A">
        <w:rPr>
          <w:rFonts w:ascii="Cambria" w:eastAsia="Times New Roman" w:hAnsi="Cambria"/>
        </w:rPr>
        <w:tab/>
        <w:t>-</w:t>
      </w:r>
      <w:r w:rsidRPr="0093379A">
        <w:rPr>
          <w:rFonts w:ascii="Cambria" w:eastAsia="Times New Roman" w:hAnsi="Cambria"/>
        </w:rPr>
        <w:tab/>
        <w:t>Matins, 10 AM (The Epiphany of Our Lord)</w:t>
      </w:r>
    </w:p>
    <w:p w:rsidR="0093379A" w:rsidRPr="0093379A" w:rsidRDefault="0093379A" w:rsidP="0093379A">
      <w:pPr>
        <w:tabs>
          <w:tab w:val="left" w:pos="1440"/>
          <w:tab w:val="left" w:pos="1710"/>
        </w:tabs>
        <w:ind w:left="1710" w:hanging="1530"/>
        <w:rPr>
          <w:rFonts w:ascii="Cambria" w:eastAsia="Times New Roman" w:hAnsi="Cambria"/>
        </w:rPr>
      </w:pPr>
      <w:r w:rsidRPr="0093379A">
        <w:rPr>
          <w:rFonts w:ascii="Cambria" w:eastAsia="Times New Roman" w:hAnsi="Cambria"/>
        </w:rPr>
        <w:t>Sun., Jan. 7</w:t>
      </w:r>
      <w:r w:rsidRPr="0093379A">
        <w:rPr>
          <w:rFonts w:ascii="Cambria" w:eastAsia="Times New Roman" w:hAnsi="Cambria"/>
        </w:rPr>
        <w:tab/>
        <w:t>-</w:t>
      </w:r>
      <w:r w:rsidRPr="0093379A">
        <w:rPr>
          <w:rFonts w:ascii="Cambria" w:eastAsia="Times New Roman" w:hAnsi="Cambria"/>
        </w:rPr>
        <w:tab/>
      </w:r>
      <w:r w:rsidRPr="0093379A">
        <w:rPr>
          <w:rFonts w:ascii="Cambria" w:eastAsia="Times New Roman" w:hAnsi="Cambria"/>
          <w:b/>
          <w:i/>
        </w:rPr>
        <w:t>No Sunday School</w:t>
      </w:r>
    </w:p>
    <w:p w:rsidR="0093379A" w:rsidRPr="0093379A" w:rsidRDefault="0093379A" w:rsidP="0093379A">
      <w:pPr>
        <w:tabs>
          <w:tab w:val="left" w:pos="1440"/>
          <w:tab w:val="left" w:pos="1710"/>
        </w:tabs>
        <w:ind w:left="1710" w:hanging="1530"/>
        <w:rPr>
          <w:rFonts w:ascii="Cambria" w:eastAsia="Times New Roman" w:hAnsi="Cambria"/>
        </w:rPr>
      </w:pPr>
      <w:r w:rsidRPr="0093379A">
        <w:rPr>
          <w:rFonts w:ascii="Cambria" w:eastAsia="Times New Roman" w:hAnsi="Cambria"/>
        </w:rPr>
        <w:tab/>
        <w:t>-</w:t>
      </w:r>
      <w:r w:rsidRPr="0093379A">
        <w:rPr>
          <w:rFonts w:ascii="Cambria" w:eastAsia="Times New Roman" w:hAnsi="Cambria"/>
        </w:rPr>
        <w:tab/>
        <w:t>Divine Service, 10:15 AM (Epiphany 1)</w:t>
      </w:r>
    </w:p>
    <w:p w:rsidR="005F5DDC"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93379A" w:rsidRDefault="0093379A">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A2728" w:rsidP="00FA2728">
      <w:pPr>
        <w:tabs>
          <w:tab w:val="right" w:pos="6750"/>
        </w:tabs>
        <w:jc w:val="center"/>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The Order of Holy Communion for Christmas Day</w:t>
      </w:r>
    </w:p>
    <w:p w:rsidR="003F7511" w:rsidRPr="003F7511" w:rsidRDefault="003B68CF"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A2728" w:rsidRPr="00FA2728" w:rsidRDefault="00FA2728"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Hymn</w:t>
      </w:r>
      <w:r w:rsidRPr="00FA2728">
        <w:rPr>
          <w:rFonts w:ascii="Calibri" w:hAnsi="Calibri"/>
          <w:b/>
          <w:bCs/>
          <w:smallCaps/>
          <w:sz w:val="22"/>
          <w:szCs w:val="22"/>
        </w:rPr>
        <w:tab/>
      </w:r>
      <w:r w:rsidRPr="00FA2728">
        <w:rPr>
          <w:rFonts w:ascii="Calibri" w:eastAsia="Times New Roman" w:hAnsi="Calibri" w:cs="Times New Roman"/>
          <w:bCs/>
          <w:i/>
          <w:sz w:val="22"/>
          <w:szCs w:val="22"/>
        </w:rPr>
        <w:t>TLH #102 – Oh, Come, All Ye Faithful</w:t>
      </w:r>
    </w:p>
    <w:p w:rsidR="00E0054A" w:rsidRPr="00FA2728" w:rsidRDefault="00FA2728"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Opening of the Service &amp; The Confession of Sins</w:t>
      </w:r>
      <w:r w:rsidRPr="00FA2728">
        <w:rPr>
          <w:rFonts w:ascii="Calibri" w:hAnsi="Calibri"/>
          <w:b/>
          <w:bCs/>
          <w:smallCaps/>
          <w:sz w:val="22"/>
          <w:szCs w:val="22"/>
        </w:rPr>
        <w:tab/>
      </w:r>
      <w:r w:rsidRPr="00FA2728">
        <w:rPr>
          <w:rFonts w:ascii="Calibri" w:hAnsi="Calibri"/>
          <w:bCs/>
          <w:i/>
          <w:sz w:val="22"/>
          <w:szCs w:val="22"/>
        </w:rPr>
        <w:t>p. 15</w:t>
      </w:r>
    </w:p>
    <w:p w:rsidR="00FA2728" w:rsidRPr="00FA2728" w:rsidRDefault="00FA2728" w:rsidP="00FA2728">
      <w:pPr>
        <w:tabs>
          <w:tab w:val="right" w:pos="6750"/>
        </w:tabs>
        <w:rPr>
          <w:rFonts w:ascii="Calibri" w:hAnsi="Calibri"/>
          <w:b/>
          <w:bCs/>
          <w:smallCaps/>
          <w:sz w:val="22"/>
          <w:szCs w:val="22"/>
        </w:rPr>
      </w:pPr>
      <w:r w:rsidRPr="00FA2728">
        <w:rPr>
          <w:rFonts w:ascii="Calibri" w:hAnsi="Calibri"/>
          <w:b/>
          <w:bCs/>
          <w:smallCaps/>
          <w:sz w:val="22"/>
          <w:szCs w:val="22"/>
        </w:rPr>
        <w:t>The Introit</w:t>
      </w:r>
      <w:r w:rsidRPr="00FA2728">
        <w:rPr>
          <w:rFonts w:ascii="Calibri" w:hAnsi="Calibri"/>
          <w:b/>
          <w:bCs/>
          <w:smallCaps/>
          <w:sz w:val="22"/>
          <w:szCs w:val="22"/>
        </w:rPr>
        <w:tab/>
      </w:r>
      <w:r w:rsidRPr="00FA2728">
        <w:rPr>
          <w:rFonts w:ascii="Calibri" w:hAnsi="Calibri"/>
          <w:bCs/>
          <w:i/>
          <w:sz w:val="22"/>
          <w:szCs w:val="22"/>
        </w:rPr>
        <w:t>Isaiah 9:6</w:t>
      </w:r>
    </w:p>
    <w:p w:rsidR="00E0054A" w:rsidRPr="00E0054A" w:rsidRDefault="00E0054A" w:rsidP="00E0054A">
      <w:pPr>
        <w:tabs>
          <w:tab w:val="left" w:pos="360"/>
        </w:tabs>
        <w:ind w:left="540" w:hanging="540"/>
      </w:pPr>
      <w:r w:rsidRPr="00E0054A">
        <w:rPr>
          <w:rFonts w:ascii="LSBSymbol" w:hAnsi="LSBSymbol"/>
          <w:bCs/>
          <w:szCs w:val="22"/>
        </w:rPr>
        <w:t>P</w:t>
      </w:r>
      <w:r w:rsidRPr="00E0054A">
        <w:rPr>
          <w:rFonts w:ascii="Cambria" w:hAnsi="Cambria"/>
          <w:bCs/>
          <w:szCs w:val="22"/>
        </w:rPr>
        <w:tab/>
      </w:r>
      <w:r w:rsidRPr="00E0054A">
        <w:rPr>
          <w:rFonts w:ascii="Cambria" w:hAnsi="Cambria"/>
          <w:b/>
          <w:bCs/>
          <w:i/>
          <w:iCs/>
        </w:rPr>
        <w:t xml:space="preserve"> </w:t>
      </w:r>
      <w:r w:rsidRPr="00E0054A">
        <w:rPr>
          <w:i/>
          <w:iCs/>
        </w:rPr>
        <w:t>(Antiphon)</w:t>
      </w:r>
      <w:r w:rsidRPr="00E0054A">
        <w:t xml:space="preserve">  UNTO us a Ch</w:t>
      </w:r>
      <w:r w:rsidR="002510A0">
        <w:t xml:space="preserve">ild is born, unto us a Son is | </w:t>
      </w:r>
      <w:r w:rsidRPr="00E0054A">
        <w:t>given; *</w:t>
      </w:r>
    </w:p>
    <w:p w:rsidR="00E0054A" w:rsidRPr="00E0054A" w:rsidRDefault="00E0054A" w:rsidP="00E0054A">
      <w:pPr>
        <w:tabs>
          <w:tab w:val="left" w:pos="360"/>
        </w:tabs>
        <w:ind w:left="540" w:hanging="540"/>
      </w:pPr>
      <w:r w:rsidRPr="00E0054A">
        <w:tab/>
      </w:r>
      <w:r w:rsidRPr="00E0054A">
        <w:tab/>
        <w:t>And the government will be upon | His shoulder.</w:t>
      </w:r>
    </w:p>
    <w:p w:rsidR="00E0054A" w:rsidRPr="00E0054A" w:rsidRDefault="00E0054A" w:rsidP="00E0054A">
      <w:pPr>
        <w:tabs>
          <w:tab w:val="left" w:pos="360"/>
        </w:tabs>
        <w:ind w:left="360"/>
      </w:pPr>
      <w:r w:rsidRPr="00E0054A">
        <w:t>His name shall be called Wonder -</w:t>
      </w:r>
      <w:proofErr w:type="spellStart"/>
      <w:r w:rsidRPr="00E0054A">
        <w:t>ful</w:t>
      </w:r>
      <w:proofErr w:type="spellEnd"/>
      <w:r w:rsidRPr="00E0054A">
        <w:t xml:space="preserve">, (+) Counselor, the Might- | </w:t>
      </w:r>
      <w:proofErr w:type="spellStart"/>
      <w:r w:rsidRPr="00E0054A">
        <w:t>y</w:t>
      </w:r>
      <w:proofErr w:type="spellEnd"/>
      <w:r w:rsidRPr="00E0054A">
        <w:t xml:space="preserve"> God, *</w:t>
      </w:r>
    </w:p>
    <w:p w:rsidR="00E0054A" w:rsidRPr="00E0054A" w:rsidRDefault="00E0054A" w:rsidP="00E0054A">
      <w:pPr>
        <w:tabs>
          <w:tab w:val="left" w:pos="360"/>
        </w:tabs>
        <w:ind w:left="540" w:hanging="540"/>
      </w:pPr>
      <w:r w:rsidRPr="00E0054A">
        <w:tab/>
      </w:r>
      <w:r w:rsidRPr="00E0054A">
        <w:tab/>
        <w:t xml:space="preserve">The Everlasting Father, the | Prince of Peace. </w:t>
      </w:r>
    </w:p>
    <w:p w:rsidR="00E0054A" w:rsidRPr="002510A0" w:rsidRDefault="00E0054A" w:rsidP="002510A0">
      <w:pPr>
        <w:spacing w:after="80"/>
        <w:ind w:left="360" w:hanging="360"/>
        <w:rPr>
          <w:b/>
          <w:i/>
        </w:rPr>
      </w:pPr>
      <w:r w:rsidRPr="00E0054A">
        <w:rPr>
          <w:noProof/>
        </w:rPr>
        <w:drawing>
          <wp:anchor distT="0" distB="0" distL="114300" distR="114300" simplePos="0" relativeHeight="251661312" behindDoc="0" locked="0" layoutInCell="1" allowOverlap="1" wp14:anchorId="59DE2D61" wp14:editId="3B7FC4B2">
            <wp:simplePos x="0" y="0"/>
            <wp:positionH relativeFrom="column">
              <wp:posOffset>-3810</wp:posOffset>
            </wp:positionH>
            <wp:positionV relativeFrom="paragraph">
              <wp:posOffset>26035</wp:posOffset>
            </wp:positionV>
            <wp:extent cx="3800475" cy="4476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almTone_DMaj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0475" cy="447675"/>
                    </a:xfrm>
                    <a:prstGeom prst="rect">
                      <a:avLst/>
                    </a:prstGeom>
                  </pic:spPr>
                </pic:pic>
              </a:graphicData>
            </a:graphic>
          </wp:anchor>
        </w:drawing>
      </w:r>
      <w:r w:rsidRPr="00E0054A">
        <w:rPr>
          <w:rFonts w:ascii="LSBSymbol" w:hAnsi="LSBSymbol"/>
          <w:bCs/>
          <w:szCs w:val="22"/>
        </w:rPr>
        <w:t>C</w:t>
      </w:r>
      <w:r w:rsidRPr="00E0054A">
        <w:t xml:space="preserve"> </w:t>
      </w:r>
      <w:r w:rsidRPr="00E0054A">
        <w:tab/>
      </w:r>
      <w:r w:rsidR="002510A0">
        <w:t>(</w:t>
      </w:r>
      <w:r w:rsidR="002510A0" w:rsidRPr="002510A0">
        <w:rPr>
          <w:b/>
          <w:bCs/>
          <w:i/>
        </w:rPr>
        <w:t>TLH #87 – Joy to the World</w:t>
      </w:r>
      <w:r w:rsidR="002510A0">
        <w:rPr>
          <w:b/>
          <w:bCs/>
          <w:i/>
        </w:rPr>
        <w:t>, the Lord Is Come)</w:t>
      </w:r>
    </w:p>
    <w:p w:rsidR="00E0054A" w:rsidRPr="00E0054A" w:rsidRDefault="00E0054A" w:rsidP="00E0054A">
      <w:pPr>
        <w:tabs>
          <w:tab w:val="left" w:pos="360"/>
        </w:tabs>
        <w:spacing w:after="120"/>
        <w:rPr>
          <w:lang w:val="es-MX"/>
        </w:rPr>
      </w:pPr>
      <w:r w:rsidRPr="00E0054A">
        <w:rPr>
          <w:rFonts w:ascii="LSBSymbol" w:hAnsi="LSBSymbol"/>
          <w:bCs/>
          <w:szCs w:val="22"/>
          <w:lang w:val="es-MX"/>
        </w:rPr>
        <w:t>P</w:t>
      </w:r>
      <w:r w:rsidRPr="00E0054A">
        <w:rPr>
          <w:rFonts w:ascii="Cambria" w:hAnsi="Cambria"/>
          <w:bCs/>
          <w:szCs w:val="22"/>
          <w:lang w:val="es-MX"/>
        </w:rPr>
        <w:tab/>
      </w:r>
      <w:r w:rsidRPr="00E0054A">
        <w:rPr>
          <w:rFonts w:ascii="Cambria" w:hAnsi="Cambria"/>
          <w:b/>
          <w:bCs/>
          <w:i/>
          <w:iCs/>
          <w:lang w:val="es-MX"/>
        </w:rPr>
        <w:t xml:space="preserve"> </w:t>
      </w:r>
      <w:r w:rsidRPr="00E0054A">
        <w:rPr>
          <w:i/>
          <w:iCs/>
          <w:lang w:val="es-MX"/>
        </w:rPr>
        <w:t>(Antiphon)</w:t>
      </w:r>
      <w:r w:rsidRPr="00E0054A">
        <w:rPr>
          <w:lang w:val="es-MX"/>
        </w:rPr>
        <w:t xml:space="preserve">  </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Kyrie &amp; Gloria in Excelsis</w:t>
      </w:r>
      <w:r w:rsidRPr="00FA2728">
        <w:rPr>
          <w:rFonts w:ascii="Calibri" w:hAnsi="Calibri"/>
          <w:b/>
          <w:bCs/>
          <w:smallCaps/>
          <w:sz w:val="22"/>
          <w:szCs w:val="22"/>
        </w:rPr>
        <w:tab/>
      </w:r>
      <w:r w:rsidRPr="00FA2728">
        <w:rPr>
          <w:rFonts w:ascii="Calibri" w:hAnsi="Calibri"/>
          <w:bCs/>
          <w:i/>
          <w:sz w:val="22"/>
          <w:szCs w:val="22"/>
        </w:rPr>
        <w:t>p. 17-19</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Salutation &amp; The Collect</w:t>
      </w:r>
      <w:r w:rsidRPr="00FA2728">
        <w:rPr>
          <w:rFonts w:ascii="Calibri" w:hAnsi="Calibri"/>
          <w:b/>
          <w:bCs/>
          <w:smallCaps/>
          <w:sz w:val="22"/>
          <w:szCs w:val="22"/>
        </w:rPr>
        <w:tab/>
      </w:r>
      <w:r w:rsidRPr="00FA2728">
        <w:rPr>
          <w:rFonts w:ascii="Calibri" w:hAnsi="Calibri"/>
          <w:bCs/>
          <w:i/>
          <w:sz w:val="22"/>
          <w:szCs w:val="22"/>
        </w:rPr>
        <w:t>p. 19</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Epistle</w:t>
      </w:r>
      <w:r w:rsidRPr="00FA2728">
        <w:rPr>
          <w:rFonts w:ascii="Calibri" w:hAnsi="Calibri"/>
          <w:b/>
          <w:bCs/>
          <w:smallCaps/>
          <w:sz w:val="22"/>
          <w:szCs w:val="22"/>
        </w:rPr>
        <w:tab/>
      </w:r>
      <w:r w:rsidR="008573BA">
        <w:rPr>
          <w:rFonts w:ascii="Calibri" w:hAnsi="Calibri"/>
          <w:bCs/>
          <w:i/>
          <w:sz w:val="22"/>
          <w:szCs w:val="22"/>
        </w:rPr>
        <w:t>Hebrews 1:1-12</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Hymn</w:t>
      </w:r>
      <w:r w:rsidRPr="00FA2728">
        <w:rPr>
          <w:rFonts w:ascii="Calibri" w:hAnsi="Calibri"/>
          <w:b/>
          <w:bCs/>
          <w:smallCaps/>
          <w:sz w:val="22"/>
          <w:szCs w:val="22"/>
        </w:rPr>
        <w:tab/>
      </w:r>
      <w:r w:rsidRPr="00FA2728">
        <w:rPr>
          <w:rFonts w:ascii="Calibri" w:eastAsia="Times New Roman" w:hAnsi="Calibri" w:cs="Times New Roman"/>
          <w:bCs/>
          <w:i/>
          <w:sz w:val="22"/>
          <w:szCs w:val="22"/>
        </w:rPr>
        <w:t>TLH #105 - Praise God the Lord Ye Sons of Men</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Gospel</w:t>
      </w:r>
      <w:r w:rsidR="00FA2728" w:rsidRPr="00FA2728">
        <w:rPr>
          <w:rFonts w:ascii="Calibri" w:hAnsi="Calibri"/>
          <w:b/>
          <w:bCs/>
          <w:smallCaps/>
          <w:sz w:val="22"/>
          <w:szCs w:val="22"/>
        </w:rPr>
        <w:tab/>
      </w:r>
      <w:r w:rsidR="008573BA">
        <w:rPr>
          <w:rFonts w:ascii="Calibri" w:hAnsi="Calibri"/>
          <w:bCs/>
          <w:i/>
          <w:sz w:val="22"/>
          <w:szCs w:val="22"/>
        </w:rPr>
        <w:t>John 1:1-14</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Creed</w:t>
      </w:r>
      <w:r w:rsidR="00FA2728" w:rsidRPr="00FA2728">
        <w:rPr>
          <w:rFonts w:ascii="Calibri" w:hAnsi="Calibri"/>
          <w:b/>
          <w:bCs/>
          <w:smallCaps/>
          <w:sz w:val="22"/>
          <w:szCs w:val="22"/>
        </w:rPr>
        <w:tab/>
      </w:r>
      <w:r w:rsidR="00FA2728" w:rsidRPr="00FA2728">
        <w:rPr>
          <w:rFonts w:ascii="Calibri" w:hAnsi="Calibri"/>
          <w:bCs/>
          <w:i/>
          <w:sz w:val="22"/>
          <w:szCs w:val="22"/>
        </w:rPr>
        <w:t>p. 22</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Hymn</w:t>
      </w:r>
      <w:r w:rsidRPr="00FA2728">
        <w:rPr>
          <w:rFonts w:ascii="Calibri" w:hAnsi="Calibri"/>
          <w:b/>
          <w:bCs/>
          <w:smallCaps/>
          <w:sz w:val="22"/>
          <w:szCs w:val="22"/>
        </w:rPr>
        <w:tab/>
      </w:r>
      <w:r w:rsidRPr="00FA2728">
        <w:rPr>
          <w:rFonts w:ascii="Calibri" w:eastAsia="Times New Roman" w:hAnsi="Calibri" w:cs="Times New Roman"/>
          <w:bCs/>
          <w:i/>
          <w:sz w:val="22"/>
          <w:szCs w:val="22"/>
        </w:rPr>
        <w:t>TLH #98 – Of the Father’s Love Begotten</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Sermon</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Offertory</w:t>
      </w:r>
      <w:r w:rsidR="00FA2728" w:rsidRPr="00FA2728">
        <w:rPr>
          <w:rFonts w:ascii="Calibri" w:hAnsi="Calibri"/>
          <w:b/>
          <w:bCs/>
          <w:smallCaps/>
          <w:sz w:val="22"/>
          <w:szCs w:val="22"/>
        </w:rPr>
        <w:tab/>
      </w:r>
      <w:r w:rsidR="00FA2728" w:rsidRPr="00FA2728">
        <w:rPr>
          <w:rFonts w:ascii="Calibri" w:hAnsi="Calibri"/>
          <w:bCs/>
          <w:i/>
          <w:sz w:val="22"/>
          <w:szCs w:val="22"/>
        </w:rPr>
        <w:t>p. 22</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Offering</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General Prayer</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Hymn</w:t>
      </w:r>
      <w:r w:rsidRPr="00FA2728">
        <w:rPr>
          <w:rFonts w:ascii="Calibri" w:hAnsi="Calibri"/>
          <w:b/>
          <w:bCs/>
          <w:smallCaps/>
          <w:sz w:val="22"/>
          <w:szCs w:val="22"/>
        </w:rPr>
        <w:tab/>
      </w:r>
      <w:r w:rsidRPr="00FA2728">
        <w:rPr>
          <w:rFonts w:ascii="Calibri" w:eastAsia="Times New Roman" w:hAnsi="Calibri" w:cs="Times New Roman"/>
          <w:bCs/>
          <w:i/>
          <w:sz w:val="22"/>
          <w:szCs w:val="22"/>
        </w:rPr>
        <w:t>TLH #107 - We Christians May Rejoice Today</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Preface</w:t>
      </w:r>
      <w:r w:rsidR="00FA2728" w:rsidRPr="00FA2728">
        <w:rPr>
          <w:rFonts w:ascii="Calibri" w:hAnsi="Calibri"/>
          <w:b/>
          <w:bCs/>
          <w:smallCaps/>
          <w:sz w:val="22"/>
          <w:szCs w:val="22"/>
        </w:rPr>
        <w:tab/>
      </w:r>
      <w:r w:rsidR="00FA2728" w:rsidRPr="00FA2728">
        <w:rPr>
          <w:rFonts w:ascii="Calibri" w:hAnsi="Calibri"/>
          <w:bCs/>
          <w:i/>
          <w:sz w:val="22"/>
          <w:szCs w:val="22"/>
        </w:rPr>
        <w:t>p. 24-25</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Sanctus</w:t>
      </w:r>
      <w:r w:rsidR="00FA2728" w:rsidRPr="00FA2728">
        <w:rPr>
          <w:rFonts w:ascii="Calibri" w:hAnsi="Calibri"/>
          <w:b/>
          <w:bCs/>
          <w:smallCaps/>
          <w:sz w:val="22"/>
          <w:szCs w:val="22"/>
        </w:rPr>
        <w:tab/>
      </w:r>
      <w:r w:rsidR="00FA2728" w:rsidRPr="00FA2728">
        <w:rPr>
          <w:rFonts w:ascii="Calibri" w:hAnsi="Calibri"/>
          <w:bCs/>
          <w:i/>
          <w:sz w:val="22"/>
          <w:szCs w:val="22"/>
        </w:rPr>
        <w:t>p. 26</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Lord’s Prayer</w:t>
      </w:r>
      <w:r w:rsidR="00FA2728" w:rsidRPr="00FA2728">
        <w:rPr>
          <w:rFonts w:ascii="Calibri" w:hAnsi="Calibri"/>
          <w:b/>
          <w:bCs/>
          <w:smallCaps/>
          <w:sz w:val="22"/>
          <w:szCs w:val="22"/>
        </w:rPr>
        <w:tab/>
      </w:r>
      <w:r w:rsidR="00FA2728" w:rsidRPr="00FA2728">
        <w:rPr>
          <w:rFonts w:ascii="Calibri" w:hAnsi="Calibri"/>
          <w:bCs/>
          <w:i/>
          <w:sz w:val="22"/>
          <w:szCs w:val="22"/>
        </w:rPr>
        <w:t>p. 27</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Words of Institution &amp; Pax Domini</w:t>
      </w:r>
      <w:r w:rsidR="00FA2728" w:rsidRPr="00FA2728">
        <w:rPr>
          <w:rFonts w:ascii="Calibri" w:hAnsi="Calibri"/>
          <w:b/>
          <w:bCs/>
          <w:smallCaps/>
          <w:sz w:val="22"/>
          <w:szCs w:val="22"/>
        </w:rPr>
        <w:tab/>
      </w:r>
      <w:r w:rsidR="00FA2728" w:rsidRPr="00FA2728">
        <w:rPr>
          <w:rFonts w:ascii="Calibri" w:hAnsi="Calibri"/>
          <w:bCs/>
          <w:i/>
          <w:sz w:val="22"/>
          <w:szCs w:val="22"/>
        </w:rPr>
        <w:t>p. 27</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Agnus Dei</w:t>
      </w:r>
      <w:r w:rsidR="00FA2728" w:rsidRPr="00FA2728">
        <w:rPr>
          <w:rFonts w:ascii="Calibri" w:hAnsi="Calibri"/>
          <w:b/>
          <w:bCs/>
          <w:smallCaps/>
          <w:sz w:val="22"/>
          <w:szCs w:val="22"/>
        </w:rPr>
        <w:tab/>
      </w:r>
      <w:r w:rsidR="00FA2728" w:rsidRPr="00FA2728">
        <w:rPr>
          <w:rFonts w:ascii="Calibri" w:hAnsi="Calibri"/>
          <w:bCs/>
          <w:i/>
          <w:sz w:val="22"/>
          <w:szCs w:val="22"/>
        </w:rPr>
        <w:t>p. 28</w:t>
      </w:r>
    </w:p>
    <w:p w:rsidR="00645C09" w:rsidRPr="00FA2728" w:rsidRDefault="00645C09" w:rsidP="00645C09">
      <w:pPr>
        <w:tabs>
          <w:tab w:val="right" w:pos="6750"/>
        </w:tabs>
        <w:rPr>
          <w:rFonts w:ascii="Calibri" w:hAnsi="Calibri"/>
          <w:b/>
          <w:bCs/>
          <w:smallCaps/>
          <w:sz w:val="22"/>
          <w:szCs w:val="22"/>
        </w:rPr>
      </w:pPr>
      <w:r w:rsidRPr="00FA2728">
        <w:rPr>
          <w:rFonts w:ascii="Calibri" w:hAnsi="Calibri"/>
          <w:b/>
          <w:bCs/>
          <w:smallCaps/>
          <w:sz w:val="22"/>
          <w:szCs w:val="22"/>
        </w:rPr>
        <w:t>The Distribution</w:t>
      </w:r>
    </w:p>
    <w:p w:rsidR="00645C09" w:rsidRPr="00FA2728" w:rsidRDefault="00645C09" w:rsidP="00645C09">
      <w:pPr>
        <w:tabs>
          <w:tab w:val="left" w:pos="540"/>
          <w:tab w:val="right" w:pos="6750"/>
        </w:tabs>
        <w:ind w:left="90"/>
        <w:rPr>
          <w:rFonts w:ascii="Calibri" w:eastAsia="Times New Roman" w:hAnsi="Calibri" w:cs="Times New Roman"/>
          <w:bCs/>
          <w:i/>
          <w:sz w:val="22"/>
          <w:szCs w:val="22"/>
        </w:rPr>
      </w:pPr>
      <w:r w:rsidRPr="00FA2728">
        <w:rPr>
          <w:rFonts w:ascii="Calibri" w:hAnsi="Calibri"/>
          <w:b/>
          <w:bCs/>
          <w:smallCaps/>
          <w:sz w:val="22"/>
          <w:szCs w:val="22"/>
        </w:rPr>
        <w:t xml:space="preserve">     Hymn</w:t>
      </w:r>
      <w:r w:rsidRPr="00FA2728">
        <w:rPr>
          <w:rFonts w:ascii="Calibri" w:hAnsi="Calibri"/>
          <w:b/>
          <w:bCs/>
          <w:smallCaps/>
          <w:sz w:val="22"/>
          <w:szCs w:val="22"/>
        </w:rPr>
        <w:tab/>
      </w:r>
      <w:r w:rsidRPr="00FA2728">
        <w:rPr>
          <w:rFonts w:ascii="Calibri" w:eastAsia="Times New Roman" w:hAnsi="Calibri" w:cs="Times New Roman"/>
          <w:bCs/>
          <w:i/>
          <w:sz w:val="22"/>
          <w:szCs w:val="22"/>
        </w:rPr>
        <w:t>TLH #90 - Come, Your Hearts and Voices Raising</w:t>
      </w:r>
    </w:p>
    <w:p w:rsidR="00645C09" w:rsidRPr="00FA2728" w:rsidRDefault="00645C09" w:rsidP="00FA2728">
      <w:pPr>
        <w:tabs>
          <w:tab w:val="left" w:pos="540"/>
          <w:tab w:val="right" w:pos="6750"/>
        </w:tabs>
        <w:spacing w:after="40"/>
        <w:ind w:left="90"/>
        <w:rPr>
          <w:rFonts w:ascii="Calibri" w:hAnsi="Calibri"/>
          <w:b/>
          <w:bCs/>
          <w:smallCaps/>
          <w:sz w:val="22"/>
          <w:szCs w:val="22"/>
        </w:rPr>
      </w:pPr>
      <w:r w:rsidRPr="00FA2728">
        <w:rPr>
          <w:rFonts w:ascii="Calibri" w:hAnsi="Calibri"/>
          <w:b/>
          <w:bCs/>
          <w:smallCaps/>
          <w:sz w:val="22"/>
          <w:szCs w:val="22"/>
        </w:rPr>
        <w:t xml:space="preserve">     Hymn</w:t>
      </w:r>
      <w:r w:rsidRPr="00FA2728">
        <w:rPr>
          <w:rFonts w:ascii="Calibri" w:hAnsi="Calibri"/>
          <w:b/>
          <w:bCs/>
          <w:smallCaps/>
          <w:sz w:val="22"/>
          <w:szCs w:val="22"/>
        </w:rPr>
        <w:tab/>
      </w:r>
      <w:r w:rsidRPr="00FA2728">
        <w:rPr>
          <w:rFonts w:ascii="Calibri" w:eastAsia="Times New Roman" w:hAnsi="Calibri" w:cs="Times New Roman"/>
          <w:bCs/>
          <w:i/>
          <w:sz w:val="22"/>
          <w:szCs w:val="22"/>
        </w:rPr>
        <w:t>TLH #93 - O Lord We Welcome Thee</w:t>
      </w:r>
    </w:p>
    <w:p w:rsidR="000D582E"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Nunc Dimittis</w:t>
      </w:r>
      <w:r w:rsidR="00FA2728" w:rsidRPr="00FA2728">
        <w:rPr>
          <w:rFonts w:ascii="Calibri" w:hAnsi="Calibri"/>
          <w:b/>
          <w:bCs/>
          <w:smallCaps/>
          <w:sz w:val="22"/>
          <w:szCs w:val="22"/>
        </w:rPr>
        <w:tab/>
      </w:r>
      <w:r w:rsidR="00FA2728" w:rsidRPr="00FA2728">
        <w:rPr>
          <w:rFonts w:ascii="Calibri" w:hAnsi="Calibri"/>
          <w:bCs/>
          <w:i/>
          <w:sz w:val="22"/>
          <w:szCs w:val="22"/>
        </w:rPr>
        <w:t>p. 29-30</w:t>
      </w:r>
    </w:p>
    <w:p w:rsidR="00645C09" w:rsidRPr="00FA2728" w:rsidRDefault="00645C09" w:rsidP="00FA2728">
      <w:pPr>
        <w:tabs>
          <w:tab w:val="right" w:pos="6750"/>
        </w:tabs>
        <w:spacing w:after="40"/>
        <w:rPr>
          <w:rFonts w:ascii="Calibri" w:hAnsi="Calibri"/>
          <w:b/>
          <w:bCs/>
          <w:smallCaps/>
          <w:sz w:val="22"/>
          <w:szCs w:val="22"/>
        </w:rPr>
      </w:pPr>
      <w:r w:rsidRPr="00FA2728">
        <w:rPr>
          <w:rFonts w:ascii="Calibri" w:hAnsi="Calibri"/>
          <w:b/>
          <w:bCs/>
          <w:smallCaps/>
          <w:sz w:val="22"/>
          <w:szCs w:val="22"/>
        </w:rPr>
        <w:t>The Thanksgiving, Benedicamus &amp; Benediction</w:t>
      </w:r>
      <w:r w:rsidR="00FA2728" w:rsidRPr="00FA2728">
        <w:rPr>
          <w:rFonts w:ascii="Calibri" w:hAnsi="Calibri"/>
          <w:b/>
          <w:bCs/>
          <w:smallCaps/>
          <w:sz w:val="22"/>
          <w:szCs w:val="22"/>
        </w:rPr>
        <w:tab/>
      </w:r>
      <w:r w:rsidR="00FA2728" w:rsidRPr="00FA2728">
        <w:rPr>
          <w:rFonts w:ascii="Calibri" w:hAnsi="Calibri"/>
          <w:bCs/>
          <w:i/>
          <w:sz w:val="22"/>
          <w:szCs w:val="22"/>
        </w:rPr>
        <w:t>p. 30-31</w:t>
      </w:r>
    </w:p>
    <w:p w:rsidR="00645C09" w:rsidRPr="00FA2728" w:rsidRDefault="00645C09" w:rsidP="00645C09">
      <w:pPr>
        <w:tabs>
          <w:tab w:val="right" w:pos="6750"/>
        </w:tabs>
        <w:rPr>
          <w:rFonts w:ascii="Calibri" w:hAnsi="Calibri"/>
          <w:b/>
          <w:bCs/>
          <w:smallCaps/>
          <w:sz w:val="22"/>
          <w:szCs w:val="22"/>
        </w:rPr>
      </w:pPr>
      <w:r w:rsidRPr="00FA2728">
        <w:rPr>
          <w:rFonts w:ascii="Calibri" w:hAnsi="Calibri"/>
          <w:b/>
          <w:bCs/>
          <w:smallCaps/>
          <w:sz w:val="22"/>
          <w:szCs w:val="22"/>
        </w:rPr>
        <w:t>Hymn</w:t>
      </w:r>
      <w:r w:rsidRPr="00FA2728">
        <w:rPr>
          <w:rFonts w:ascii="Calibri" w:hAnsi="Calibri"/>
          <w:b/>
          <w:bCs/>
          <w:smallCaps/>
          <w:sz w:val="22"/>
          <w:szCs w:val="22"/>
        </w:rPr>
        <w:tab/>
      </w:r>
      <w:r w:rsidRPr="00FA2728">
        <w:rPr>
          <w:rFonts w:ascii="Calibri" w:eastAsia="Times New Roman" w:hAnsi="Calibri" w:cs="Times New Roman"/>
          <w:bCs/>
          <w:i/>
          <w:sz w:val="22"/>
          <w:szCs w:val="22"/>
        </w:rPr>
        <w:t>TLH #</w:t>
      </w:r>
      <w:r w:rsidR="008A32DD">
        <w:rPr>
          <w:rFonts w:ascii="Calibri" w:eastAsia="Times New Roman" w:hAnsi="Calibri" w:cs="Times New Roman"/>
          <w:bCs/>
          <w:i/>
          <w:sz w:val="22"/>
          <w:szCs w:val="22"/>
        </w:rPr>
        <w:t>94</w:t>
      </w:r>
      <w:r w:rsidRPr="00FA2728">
        <w:rPr>
          <w:rFonts w:ascii="Calibri" w:eastAsia="Times New Roman" w:hAnsi="Calibri" w:cs="Times New Roman"/>
          <w:bCs/>
          <w:i/>
          <w:sz w:val="22"/>
          <w:szCs w:val="22"/>
        </w:rPr>
        <w:t xml:space="preserve"> </w:t>
      </w:r>
      <w:r w:rsidR="008A32DD">
        <w:rPr>
          <w:rFonts w:ascii="Calibri" w:eastAsia="Times New Roman" w:hAnsi="Calibri" w:cs="Times New Roman"/>
          <w:bCs/>
          <w:i/>
          <w:sz w:val="22"/>
          <w:szCs w:val="22"/>
        </w:rPr>
        <w:t>–</w:t>
      </w:r>
      <w:r w:rsidRPr="00FA2728">
        <w:rPr>
          <w:rFonts w:ascii="Calibri" w:eastAsia="Times New Roman" w:hAnsi="Calibri" w:cs="Times New Roman"/>
          <w:bCs/>
          <w:i/>
          <w:sz w:val="22"/>
          <w:szCs w:val="22"/>
        </w:rPr>
        <w:t xml:space="preserve"> </w:t>
      </w:r>
      <w:r w:rsidR="008A32DD">
        <w:rPr>
          <w:rFonts w:ascii="Calibri" w:eastAsia="Times New Roman" w:hAnsi="Calibri" w:cs="Times New Roman"/>
          <w:bCs/>
          <w:i/>
          <w:sz w:val="22"/>
          <w:szCs w:val="22"/>
        </w:rPr>
        <w:t>Hark</w:t>
      </w:r>
      <w:bookmarkStart w:id="0" w:name="_GoBack"/>
      <w:bookmarkEnd w:id="0"/>
      <w:r w:rsidR="008A32DD">
        <w:rPr>
          <w:rFonts w:ascii="Calibri" w:eastAsia="Times New Roman" w:hAnsi="Calibri" w:cs="Times New Roman"/>
          <w:bCs/>
          <w:i/>
          <w:sz w:val="22"/>
          <w:szCs w:val="22"/>
        </w:rPr>
        <w:t>! The Herald Angels Sing</w:t>
      </w:r>
    </w:p>
    <w:p w:rsidR="00E879CE" w:rsidRPr="00FA2728" w:rsidRDefault="00E879CE" w:rsidP="00E879CE">
      <w:pPr>
        <w:pBdr>
          <w:top w:val="thinThickLargeGap" w:sz="24" w:space="1" w:color="auto"/>
          <w:bottom w:val="thickThinLargeGap" w:sz="24" w:space="1" w:color="auto"/>
        </w:pBdr>
        <w:jc w:val="both"/>
        <w:rPr>
          <w:rFonts w:ascii="Book Antiqua" w:hAnsi="Book Antiqua"/>
          <w:smallCaps/>
          <w:sz w:val="28"/>
          <w:szCs w:val="22"/>
        </w:rPr>
      </w:pPr>
      <w:r w:rsidRPr="00FA2728">
        <w:rPr>
          <w:rFonts w:ascii="Book Antiqua" w:hAnsi="Book Antiqua"/>
          <w:smallCaps/>
          <w:sz w:val="28"/>
          <w:szCs w:val="22"/>
        </w:rPr>
        <w:lastRenderedPageBreak/>
        <w:t>We believe, teach and confess…</w:t>
      </w:r>
    </w:p>
    <w:p w:rsidR="00E0054A" w:rsidRPr="00E0054A" w:rsidRDefault="00E0054A" w:rsidP="00B85297">
      <w:pPr>
        <w:spacing w:before="80" w:after="120"/>
        <w:jc w:val="both"/>
        <w:rPr>
          <w:rFonts w:ascii="Book Antiqua" w:hAnsi="Book Antiqua"/>
          <w:sz w:val="24"/>
          <w:szCs w:val="24"/>
        </w:rPr>
      </w:pPr>
      <w:r w:rsidRPr="00E0054A">
        <w:rPr>
          <w:rFonts w:ascii="Book Antiqua" w:hAnsi="Book Antiqua"/>
          <w:b/>
          <w:bCs/>
          <w:i/>
          <w:iCs/>
          <w:sz w:val="24"/>
          <w:szCs w:val="24"/>
        </w:rPr>
        <w:t>from the</w:t>
      </w:r>
      <w:r w:rsidRPr="00E0054A">
        <w:rPr>
          <w:rFonts w:ascii="Book Antiqua" w:hAnsi="Book Antiqua"/>
          <w:b/>
          <w:bCs/>
          <w:sz w:val="24"/>
          <w:szCs w:val="24"/>
        </w:rPr>
        <w:t xml:space="preserve"> Formula of Concord: Epitome, Art. VIII</w:t>
      </w:r>
    </w:p>
    <w:p w:rsidR="00E0054A" w:rsidRPr="00E0054A" w:rsidRDefault="00E0054A" w:rsidP="00E0054A">
      <w:pPr>
        <w:ind w:firstLine="360"/>
        <w:jc w:val="both"/>
        <w:rPr>
          <w:rFonts w:ascii="Book Antiqua" w:hAnsi="Book Antiqua"/>
        </w:rPr>
      </w:pPr>
      <w:r w:rsidRPr="00E0054A">
        <w:rPr>
          <w:rFonts w:ascii="Book Antiqua" w:hAnsi="Book Antiqua"/>
        </w:rPr>
        <w:t>1. The divine and human natures in Christ are personally united. So there are not two Christs, one the Son of God and the other the Son of Man. But one and the same person is the Son of God and Son of Man (Luke 1:35; Romans 9:5).</w:t>
      </w:r>
    </w:p>
    <w:p w:rsidR="00E0054A" w:rsidRPr="00E0054A" w:rsidRDefault="00E0054A" w:rsidP="00E0054A">
      <w:pPr>
        <w:ind w:firstLine="360"/>
        <w:jc w:val="both"/>
        <w:rPr>
          <w:rFonts w:ascii="Book Antiqua" w:hAnsi="Book Antiqua"/>
        </w:rPr>
      </w:pPr>
      <w:r w:rsidRPr="00E0054A">
        <w:rPr>
          <w:rFonts w:ascii="Book Antiqua" w:hAnsi="Book Antiqua"/>
        </w:rPr>
        <w:t>2. We believe, teach, and confess that the divine and human natures are not mingled into one substance, nor is one changed into the other. Each keeps its own essential properties, which can never become the properties of the other nature.</w:t>
      </w:r>
    </w:p>
    <w:p w:rsidR="00E0054A" w:rsidRPr="00E0054A" w:rsidRDefault="00E0054A" w:rsidP="00E0054A">
      <w:pPr>
        <w:ind w:firstLine="360"/>
        <w:jc w:val="both"/>
        <w:rPr>
          <w:rFonts w:ascii="Book Antiqua" w:hAnsi="Book Antiqua"/>
        </w:rPr>
      </w:pPr>
      <w:r w:rsidRPr="00E0054A">
        <w:rPr>
          <w:rFonts w:ascii="Book Antiqua" w:hAnsi="Book Antiqua"/>
        </w:rPr>
        <w:t>3. The properties of the divine nature are these: to be almighty, eternal, infinite, and to be everywhere present (according to the property of its nature and its natural essence, of itself), to know everything, and so on. These never become properties of the human nature.</w:t>
      </w:r>
    </w:p>
    <w:p w:rsidR="00E0054A" w:rsidRPr="00E0054A" w:rsidRDefault="00E0054A" w:rsidP="00E0054A">
      <w:pPr>
        <w:ind w:firstLine="360"/>
        <w:jc w:val="both"/>
        <w:rPr>
          <w:rFonts w:ascii="Book Antiqua" w:hAnsi="Book Antiqua"/>
        </w:rPr>
      </w:pPr>
      <w:r w:rsidRPr="00E0054A">
        <w:rPr>
          <w:rFonts w:ascii="Book Antiqua" w:hAnsi="Book Antiqua"/>
        </w:rPr>
        <w:t>4. The properties of the human nature are to be a bodily creature, to be flesh and blood, to be finite and physically limited, to suffer, to die, to ascend and descend, to move from one place to another, to suffer hunger, thirst, cold, heat, and the like. These never become properties of the divine nature.</w:t>
      </w:r>
    </w:p>
    <w:p w:rsidR="00E0054A" w:rsidRPr="00E0054A" w:rsidRDefault="00E0054A" w:rsidP="00E0054A">
      <w:pPr>
        <w:ind w:firstLine="360"/>
        <w:jc w:val="both"/>
        <w:rPr>
          <w:rFonts w:ascii="Book Antiqua" w:hAnsi="Book Antiqua"/>
        </w:rPr>
      </w:pPr>
      <w:r w:rsidRPr="00E0054A">
        <w:rPr>
          <w:rFonts w:ascii="Book Antiqua" w:hAnsi="Book Antiqua"/>
        </w:rPr>
        <w:t>5. The two natures are united personally (i.e., in one person). Therefore, we believe, teach, and confess that this union is not the kind of joining together and connection that prevents either nature from having anything in common with the other personally (i.e., because of the personal union). It is not like when two boards are glued together, where neither gives anything to the other or takes anything from the other. But here is described the highest communion that God truly has with the man. From this personal union, the highest and indescribable communion results. There flows everything human that is said and believed about God, and everything divine that is said and believed about the man Christ. The ancient teachers of the Church explained this union and communion of the natures by the illustration of iron glowing with fire, and also by the union of body and soul in man.</w:t>
      </w:r>
    </w:p>
    <w:p w:rsidR="00E0054A" w:rsidRPr="00E0054A" w:rsidRDefault="00E0054A" w:rsidP="00E0054A">
      <w:pPr>
        <w:ind w:firstLine="360"/>
        <w:jc w:val="both"/>
        <w:rPr>
          <w:rFonts w:ascii="Book Antiqua" w:hAnsi="Book Antiqua"/>
        </w:rPr>
      </w:pPr>
      <w:r w:rsidRPr="00E0054A">
        <w:rPr>
          <w:rFonts w:ascii="Book Antiqua" w:hAnsi="Book Antiqua"/>
        </w:rPr>
        <w:t>6. We believe, teach, and confess that God is man and man is God. This could not be true if the divine and human natures had (in deed and truth) absolutely no communion with each other.</w:t>
      </w:r>
    </w:p>
    <w:p w:rsidR="00E0054A" w:rsidRPr="00E0054A" w:rsidRDefault="00E0054A" w:rsidP="00E0054A">
      <w:pPr>
        <w:ind w:firstLine="360"/>
        <w:jc w:val="both"/>
        <w:rPr>
          <w:rFonts w:ascii="Book Antiqua" w:hAnsi="Book Antiqua"/>
        </w:rPr>
      </w:pPr>
      <w:r w:rsidRPr="00E0054A">
        <w:rPr>
          <w:rFonts w:ascii="Book Antiqua" w:hAnsi="Book Antiqua"/>
        </w:rPr>
        <w:t>For how could the man, the Son of Mary, in truth be called or be God, or the Son of God the Most High, if His humanity were not personally united with the Son of God? How could He have no real communion (that is, in deed and truth) with the Most High, but only share God’s name?</w:t>
      </w:r>
    </w:p>
    <w:p w:rsidR="00E0054A" w:rsidRPr="00E0054A" w:rsidRDefault="00E0054A" w:rsidP="00E0054A">
      <w:pPr>
        <w:ind w:firstLine="360"/>
        <w:jc w:val="both"/>
        <w:rPr>
          <w:rFonts w:ascii="Book Antiqua" w:hAnsi="Book Antiqua"/>
        </w:rPr>
      </w:pPr>
      <w:r w:rsidRPr="00E0054A">
        <w:rPr>
          <w:rFonts w:ascii="Book Antiqua" w:hAnsi="Book Antiqua"/>
        </w:rPr>
        <w:t>7. So we believe, teach, and confess that Mary conceived and bore not merely a man and no more, but God’s true Son. Therefore, she also is rightly called and truly is “the mother of God.”</w:t>
      </w:r>
    </w:p>
    <w:p w:rsidR="00B9468A" w:rsidRPr="00E0054A" w:rsidRDefault="00B9468A" w:rsidP="00B207B5">
      <w:pPr>
        <w:spacing w:before="120"/>
        <w:jc w:val="both"/>
        <w:rPr>
          <w:rFonts w:ascii="Book Antiqua" w:hAnsi="Book Antiqua"/>
          <w:sz w:val="22"/>
        </w:rPr>
      </w:pPr>
    </w:p>
    <w:sectPr w:rsidR="00B9468A" w:rsidRPr="00E0054A"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8CF" w:rsidRDefault="003B68CF" w:rsidP="00F15EE1">
      <w:r>
        <w:separator/>
      </w:r>
    </w:p>
  </w:endnote>
  <w:endnote w:type="continuationSeparator" w:id="0">
    <w:p w:rsidR="003B68CF" w:rsidRDefault="003B68CF"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3B68CF"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3B68CF"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8CF" w:rsidRDefault="003B68CF" w:rsidP="00F15EE1">
      <w:r>
        <w:separator/>
      </w:r>
    </w:p>
  </w:footnote>
  <w:footnote w:type="continuationSeparator" w:id="0">
    <w:p w:rsidR="003B68CF" w:rsidRDefault="003B68CF"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6ACF"/>
    <w:rsid w:val="00037BDD"/>
    <w:rsid w:val="00037FA9"/>
    <w:rsid w:val="00040EE6"/>
    <w:rsid w:val="000418CC"/>
    <w:rsid w:val="000419DE"/>
    <w:rsid w:val="00042794"/>
    <w:rsid w:val="00045369"/>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D582E"/>
    <w:rsid w:val="000E00C5"/>
    <w:rsid w:val="000E033D"/>
    <w:rsid w:val="000E060A"/>
    <w:rsid w:val="000E17F5"/>
    <w:rsid w:val="000E48FE"/>
    <w:rsid w:val="000E6243"/>
    <w:rsid w:val="000E69B6"/>
    <w:rsid w:val="000E78D1"/>
    <w:rsid w:val="000F07EF"/>
    <w:rsid w:val="000F2123"/>
    <w:rsid w:val="000F2A8C"/>
    <w:rsid w:val="000F5A5E"/>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2D77"/>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0390"/>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443"/>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4E79"/>
    <w:rsid w:val="0021528E"/>
    <w:rsid w:val="002156BB"/>
    <w:rsid w:val="00215C7B"/>
    <w:rsid w:val="002165EF"/>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0A0"/>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590F"/>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6316"/>
    <w:rsid w:val="002B7906"/>
    <w:rsid w:val="002B7944"/>
    <w:rsid w:val="002C6747"/>
    <w:rsid w:val="002C750F"/>
    <w:rsid w:val="002C7603"/>
    <w:rsid w:val="002D187B"/>
    <w:rsid w:val="002D1FB3"/>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570"/>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46614"/>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2F3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B68CF"/>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17DFB"/>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36FC8"/>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2F6"/>
    <w:rsid w:val="004C08D6"/>
    <w:rsid w:val="004C0B06"/>
    <w:rsid w:val="004C1150"/>
    <w:rsid w:val="004C358D"/>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9D4"/>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1F3F"/>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36D0"/>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014D"/>
    <w:rsid w:val="00630C1F"/>
    <w:rsid w:val="00635B57"/>
    <w:rsid w:val="00636DDF"/>
    <w:rsid w:val="00640059"/>
    <w:rsid w:val="00641C48"/>
    <w:rsid w:val="00644066"/>
    <w:rsid w:val="006443EC"/>
    <w:rsid w:val="00645C09"/>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56A0"/>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0CF1"/>
    <w:rsid w:val="007519AC"/>
    <w:rsid w:val="007529D8"/>
    <w:rsid w:val="00753BD2"/>
    <w:rsid w:val="007549C1"/>
    <w:rsid w:val="00755865"/>
    <w:rsid w:val="00757D07"/>
    <w:rsid w:val="0076006A"/>
    <w:rsid w:val="007606E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AF0"/>
    <w:rsid w:val="007F1D8D"/>
    <w:rsid w:val="007F61BA"/>
    <w:rsid w:val="007F692B"/>
    <w:rsid w:val="0080020D"/>
    <w:rsid w:val="00800548"/>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573BA"/>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76DCD"/>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2DD"/>
    <w:rsid w:val="008A3E37"/>
    <w:rsid w:val="008A4855"/>
    <w:rsid w:val="008A55F2"/>
    <w:rsid w:val="008A6337"/>
    <w:rsid w:val="008A662C"/>
    <w:rsid w:val="008A675A"/>
    <w:rsid w:val="008A7344"/>
    <w:rsid w:val="008A7E7A"/>
    <w:rsid w:val="008B009D"/>
    <w:rsid w:val="008B0976"/>
    <w:rsid w:val="008B0EB2"/>
    <w:rsid w:val="008B1325"/>
    <w:rsid w:val="008B1424"/>
    <w:rsid w:val="008B3CB5"/>
    <w:rsid w:val="008B4884"/>
    <w:rsid w:val="008B5533"/>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2441"/>
    <w:rsid w:val="008F43B7"/>
    <w:rsid w:val="008F497E"/>
    <w:rsid w:val="008F5FC0"/>
    <w:rsid w:val="008F7CBD"/>
    <w:rsid w:val="0090081F"/>
    <w:rsid w:val="009014CA"/>
    <w:rsid w:val="009016C3"/>
    <w:rsid w:val="0090182E"/>
    <w:rsid w:val="00901C02"/>
    <w:rsid w:val="009029BB"/>
    <w:rsid w:val="009039E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379A"/>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512"/>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49E"/>
    <w:rsid w:val="009E48D5"/>
    <w:rsid w:val="009E5597"/>
    <w:rsid w:val="009E5A37"/>
    <w:rsid w:val="009E6346"/>
    <w:rsid w:val="009E649B"/>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6538"/>
    <w:rsid w:val="00A373EF"/>
    <w:rsid w:val="00A3762B"/>
    <w:rsid w:val="00A406E9"/>
    <w:rsid w:val="00A4142C"/>
    <w:rsid w:val="00A4144E"/>
    <w:rsid w:val="00A41EBF"/>
    <w:rsid w:val="00A429FA"/>
    <w:rsid w:val="00A431DD"/>
    <w:rsid w:val="00A45FB8"/>
    <w:rsid w:val="00A515ED"/>
    <w:rsid w:val="00A517AC"/>
    <w:rsid w:val="00A522AA"/>
    <w:rsid w:val="00A52D3D"/>
    <w:rsid w:val="00A54A09"/>
    <w:rsid w:val="00A607F6"/>
    <w:rsid w:val="00A627CE"/>
    <w:rsid w:val="00A64548"/>
    <w:rsid w:val="00A65303"/>
    <w:rsid w:val="00A65582"/>
    <w:rsid w:val="00A6712C"/>
    <w:rsid w:val="00A671CD"/>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2AA5"/>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2DD9"/>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07B5"/>
    <w:rsid w:val="00B21615"/>
    <w:rsid w:val="00B22380"/>
    <w:rsid w:val="00B2289D"/>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E9D"/>
    <w:rsid w:val="00B83F15"/>
    <w:rsid w:val="00B8500F"/>
    <w:rsid w:val="00B85297"/>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2C97"/>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179DE"/>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4BFB"/>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A"/>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9CE"/>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2D7"/>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1C0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728"/>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2A74"/>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64032062">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7791549">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3848211">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23498469">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448130">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0325257">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659670">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791942465">
      <w:bodyDiv w:val="1"/>
      <w:marLeft w:val="0"/>
      <w:marRight w:val="0"/>
      <w:marTop w:val="0"/>
      <w:marBottom w:val="0"/>
      <w:divBdr>
        <w:top w:val="none" w:sz="0" w:space="0" w:color="auto"/>
        <w:left w:val="none" w:sz="0" w:space="0" w:color="auto"/>
        <w:bottom w:val="none" w:sz="0" w:space="0" w:color="auto"/>
        <w:right w:val="none" w:sz="0" w:space="0" w:color="auto"/>
      </w:divBdr>
    </w:div>
    <w:div w:id="797333985">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164173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023117">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006419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6118523">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2296138">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17649044">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67929916">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BB586-2C78-4610-B95A-E0A1E36E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7</cp:revision>
  <cp:lastPrinted>2017-12-21T16:34:00Z</cp:lastPrinted>
  <dcterms:created xsi:type="dcterms:W3CDTF">2017-12-06T17:35:00Z</dcterms:created>
  <dcterms:modified xsi:type="dcterms:W3CDTF">2017-12-21T16:37:00Z</dcterms:modified>
</cp:coreProperties>
</file>